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92C50" w:rsidRPr="00092C50" w14:paraId="7E3526D2" w14:textId="77777777" w:rsidTr="00092C50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A7BACED" w14:textId="77777777" w:rsidR="00092C50" w:rsidRPr="00092C50" w:rsidRDefault="00092C50" w:rsidP="00092C5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5A60C5C" w14:textId="77777777" w:rsidR="00092C50" w:rsidRPr="00092C50" w:rsidRDefault="00092C50" w:rsidP="00092C5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ОБЩИНА: ТЕТЕВЕН</w:t>
            </w:r>
          </w:p>
        </w:tc>
      </w:tr>
      <w:tr w:rsidR="00092C50" w:rsidRPr="00092C50" w14:paraId="7F42A047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581F3ACD" w14:textId="77777777" w:rsidR="00092C50" w:rsidRPr="00092C50" w:rsidRDefault="00092C50" w:rsidP="00092C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11FB5B2" w14:textId="77777777" w:rsidR="00092C50" w:rsidRPr="00092C50" w:rsidRDefault="00092C50" w:rsidP="00092C50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788A44BA" w14:textId="77777777" w:rsidR="00092C50" w:rsidRPr="00092C50" w:rsidRDefault="00092C50" w:rsidP="00092C5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92C5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B7B9651" w14:textId="0B6EE8CC" w:rsidR="00092C50" w:rsidRPr="00092C50" w:rsidRDefault="00815422" w:rsidP="00092C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092C50" w:rsidRPr="00092C50" w14:paraId="6DA7BF32" w14:textId="77777777" w:rsidTr="00092C50">
        <w:tc>
          <w:tcPr>
            <w:tcW w:w="14587" w:type="dxa"/>
            <w:gridSpan w:val="3"/>
            <w:shd w:val="clear" w:color="auto" w:fill="FBE4D5" w:themeFill="accent2" w:themeFillTint="33"/>
            <w:vAlign w:val="center"/>
          </w:tcPr>
          <w:p w14:paraId="3A0BB190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092C50" w:rsidRPr="00092C50" w14:paraId="7680F017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575ED1DB" w14:textId="77777777" w:rsidR="00092C50" w:rsidRPr="00092C50" w:rsidRDefault="00092C50" w:rsidP="00092C50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BA59F97" w14:textId="77777777" w:rsidR="00092C50" w:rsidRPr="00CB2D27" w:rsidRDefault="00092C50" w:rsidP="00092C50">
            <w:pPr>
              <w:pStyle w:val="NormalWeb"/>
              <w:jc w:val="both"/>
              <w:rPr>
                <w:sz w:val="22"/>
                <w:szCs w:val="22"/>
                <w:lang w:val="bg-BG"/>
              </w:rPr>
            </w:pPr>
            <w:r w:rsidRPr="00CB2D27">
              <w:rPr>
                <w:sz w:val="22"/>
                <w:szCs w:val="22"/>
                <w:lang w:val="bg-BG"/>
              </w:rPr>
              <w:t>Община Тетевен изпълнява задълженията си по организиране и провеждане на избори съгласно действащото национално законодателство и в съответствие с международните стандарти за честни и прозрачни избори. Това се доказва чрез:</w:t>
            </w:r>
          </w:p>
          <w:p w14:paraId="4BE84650" w14:textId="77777777" w:rsidR="00092C50" w:rsidRPr="00CB2D27" w:rsidRDefault="00092C50" w:rsidP="00092C50">
            <w:pPr>
              <w:pStyle w:val="NormalWeb"/>
              <w:jc w:val="both"/>
              <w:rPr>
                <w:sz w:val="22"/>
                <w:szCs w:val="22"/>
                <w:lang w:val="bg-BG"/>
              </w:rPr>
            </w:pPr>
            <w:r w:rsidRPr="00CB2D27">
              <w:rPr>
                <w:sz w:val="22"/>
                <w:szCs w:val="22"/>
                <w:lang w:val="bg-BG"/>
              </w:rPr>
              <w:t>-Проведени разяснителни кампании и публикувана осведомителна информация относно изборите за Европейски парламент и Народно събрание (09.06.2024 г.), достъпна на интернет страницата на общината.</w:t>
            </w:r>
          </w:p>
          <w:p w14:paraId="28DE389D" w14:textId="77777777" w:rsidR="00092C50" w:rsidRPr="00CB2D27" w:rsidRDefault="00092C50" w:rsidP="00092C50">
            <w:pPr>
              <w:pStyle w:val="NormalWeb"/>
              <w:jc w:val="both"/>
              <w:rPr>
                <w:sz w:val="22"/>
                <w:szCs w:val="22"/>
                <w:lang w:val="bg-BG"/>
              </w:rPr>
            </w:pPr>
            <w:r w:rsidRPr="00CB2D27">
              <w:rPr>
                <w:sz w:val="22"/>
                <w:szCs w:val="22"/>
                <w:lang w:val="bg-BG"/>
              </w:rPr>
              <w:t>-Издадени заповеди за организационно-техническата подготовка и за логистиката по изборния процес, включително определяне на екип и графици за доставка на изборни материали.</w:t>
            </w:r>
          </w:p>
          <w:p w14:paraId="702EB8CC" w14:textId="77777777" w:rsidR="00092C50" w:rsidRPr="00CB2D27" w:rsidRDefault="00092C50" w:rsidP="00092C50">
            <w:pPr>
              <w:pStyle w:val="NormalWeb"/>
              <w:jc w:val="both"/>
              <w:rPr>
                <w:sz w:val="22"/>
                <w:szCs w:val="22"/>
                <w:lang w:val="bg-BG"/>
              </w:rPr>
            </w:pPr>
            <w:r w:rsidRPr="00CB2D27">
              <w:rPr>
                <w:sz w:val="22"/>
                <w:szCs w:val="22"/>
                <w:lang w:val="bg-BG"/>
              </w:rPr>
              <w:t xml:space="preserve">-Проведени публични консултации и изготвен </w:t>
            </w:r>
            <w:r w:rsidRPr="00CB2D27">
              <w:rPr>
                <w:sz w:val="22"/>
                <w:szCs w:val="22"/>
                <w:lang w:val="bg-BG"/>
              </w:rPr>
              <w:lastRenderedPageBreak/>
              <w:t>протокол относно съставите на секционните избирателни комисии – инструмент за прозрачност и участие на политическите субекти.</w:t>
            </w:r>
          </w:p>
          <w:p w14:paraId="49DAAAEF" w14:textId="01B6A2AE" w:rsidR="00092C50" w:rsidRPr="00CB2D27" w:rsidRDefault="00092C50" w:rsidP="00CB2D27">
            <w:pPr>
              <w:pStyle w:val="NormalWeb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CB2D27">
              <w:rPr>
                <w:sz w:val="22"/>
                <w:szCs w:val="22"/>
                <w:lang w:val="bg-BG"/>
              </w:rPr>
              <w:t>Изборите се организират съгласно Изборния кодекс на Република България, който гарантира права на избирателите и съответства на международно признати стандарти (напр. тези на Венецианската комисия и ОССЕ/БДИПЧ). Няма данни за констатирани нарушения или съмнения за манипулации, което потвърждава добрата изборна практика в община Тетевен.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64DC67A4" w14:textId="14119610" w:rsidR="00092C50" w:rsidRPr="00CB2D27" w:rsidRDefault="00CB2D27" w:rsidP="00CB2D27">
            <w:pPr>
              <w:jc w:val="center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92C50" w:rsidRPr="00092C50" w14:paraId="2E852D7D" w14:textId="77777777" w:rsidTr="00092C50">
        <w:tc>
          <w:tcPr>
            <w:tcW w:w="14587" w:type="dxa"/>
            <w:gridSpan w:val="3"/>
            <w:shd w:val="clear" w:color="auto" w:fill="FBE4D5" w:themeFill="accent2" w:themeFillTint="33"/>
            <w:vAlign w:val="center"/>
          </w:tcPr>
          <w:p w14:paraId="4B87A9AD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92C50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092C50" w:rsidRPr="00092C50" w14:paraId="7D62D366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462ECD81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C8EB771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Община Тетевен демонстрира последователен ангажимент към прозрачност и участие на гражданите в процеса на местно управление, като редовно публикува своите стратегически и оперативни документи и ги подлага на обществено обсъждане. Представени са множество доказателства, публикувани на официалния уебсайт на общината, включително:</w:t>
            </w:r>
          </w:p>
          <w:p w14:paraId="5A201AE7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-Анализ на потребностите от социални и здравно-социални 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услуги, обсъждан публично с документирано участие на заинтересованите страни</w:t>
            </w:r>
          </w:p>
          <w:p w14:paraId="1CB4FA3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-Проект на Стратегия за управление на общинската собственост за мандат 2023–2027 г., подложен на обществено обсъждане</w:t>
            </w:r>
          </w:p>
          <w:p w14:paraId="65F0ECB2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-Бюджет на общината за 2024 г. – проведено публично обсъждане с предварителна покана и достъпна информация</w:t>
            </w:r>
          </w:p>
          <w:p w14:paraId="66B55023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-Обсъждане на идеи за регулиране на движението на пл. „Първи ноември“ в гр. Тетевен – пример за включване на граждани в ранна фаза на процеса</w:t>
            </w:r>
          </w:p>
          <w:p w14:paraId="54D048FF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-Горскостопански план на територии, стопанисвани от общината, с провеждане на обществена консултация</w:t>
            </w:r>
          </w:p>
          <w:p w14:paraId="558D4942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-Стратегия ВОМР 2023–2027 г. на Местната инициативна група – проведена информационна конференция с възможност за участие на местната общност</w:t>
            </w:r>
          </w:p>
          <w:p w14:paraId="28405506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Предоставените материали показват, че общината не само спазва законовите изисквания за публичност, но и създава реални възможности за гражданите да изразяват мнение в началните етапи на 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процесите на планиране и вземане на решения, чрез публични покани, дискусии и документирани протоколи.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470A9E2C" w14:textId="4BDC3446" w:rsidR="00092C50" w:rsidRPr="00CB2D27" w:rsidRDefault="00CB2D27" w:rsidP="00CB2D27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092C50" w:rsidRPr="00092C50" w14:paraId="7CF96110" w14:textId="77777777" w:rsidTr="00092C50">
        <w:tc>
          <w:tcPr>
            <w:tcW w:w="14587" w:type="dxa"/>
            <w:gridSpan w:val="3"/>
            <w:shd w:val="clear" w:color="auto" w:fill="FBE4D5" w:themeFill="accent2" w:themeFillTint="33"/>
            <w:vAlign w:val="center"/>
          </w:tcPr>
          <w:p w14:paraId="5354F2F4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092C50" w:rsidRPr="00092C50" w14:paraId="74267061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060DAEA2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92C50">
              <w:rPr>
                <w:rFonts w:ascii="Times New Roman" w:eastAsia="Calibri" w:hAnsi="Times New Roman" w:cs="Times New Roman"/>
                <w:b/>
                <w:iCs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5F12E3A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Община Тетевен прилага устойчиви и разнообразни мерки за гарантиране на равнопоставено участие на гражданите в процесите на вземане на решения. Общината:</w:t>
            </w:r>
          </w:p>
          <w:p w14:paraId="20875BD0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3D9EDE4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-Публично обявява покани за обсъждане на ключови документи (бюджет, стратегии, планове), като информацията е достъпна чрез интернет страницата и е насочена към широка аудитория, без ограничителен характер.</w:t>
            </w:r>
          </w:p>
          <w:p w14:paraId="5A880790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-Организира консултации по секторни политики – напр. социални, здравни, икономически, териториално-устройствени – с възможност за участие на граждани, НПО, местен бизнес и други заинтересовани страни.</w:t>
            </w:r>
          </w:p>
          <w:p w14:paraId="2F9700F2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-Предоставя електронен достъп до документи и материали – включително чрез платформата cloud.teteven.bg – 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което намалява бариерите за участие, особено за граждани от отдалечени населени места или уязвими групи.</w:t>
            </w:r>
          </w:p>
          <w:p w14:paraId="4F0C1164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-Използва формални механизми за участие, като обществени обсъждания, анкети, публични срещи, които осигуряват равен достъп до процесите на формиране на местни политики.</w:t>
            </w:r>
          </w:p>
          <w:p w14:paraId="1D03FC20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CEC2673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Налице е институционализиран подход, гарантиращ, че мнението на гражданите се чува, независимо от техния социален или икономически статус. Тези мерки отговарят на принципите за демократична легитимност, включване и участие.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4A8BE6EA" w14:textId="47784BB1" w:rsidR="00092C50" w:rsidRPr="00CB2D27" w:rsidRDefault="00CB2D27" w:rsidP="00CB2D2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092C50" w:rsidRPr="00092C50" w14:paraId="4F39729F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01B21D1F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913E6AF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Община Тетевен прилага активна и прозрачна политика за насърчаване на гражданското участие в изборния процес, както в ролята на избиратели, така и като потенциални кандидати. Конкретните мерки включват:</w:t>
            </w:r>
          </w:p>
          <w:p w14:paraId="7B8598CC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F43B70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-Разяснителна кампания относно правата и процедурите за участие в изборите за Европейски парламент и Народно 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събрание, проведена преди изборния ден на 09.06.2024 г., с публикувани материали на интернет страницата на общината</w:t>
            </w:r>
          </w:p>
          <w:p w14:paraId="73D2721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-Осведомителна информация и съобщения за графици, секции, документи и организационни дейности, които подпомагат информирания избор на гражданите.</w:t>
            </w:r>
          </w:p>
          <w:p w14:paraId="6B70E786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-Публична покана за консултации относно състава на секционните избирателни комисии, насочена към партии и коалиции, което демонстрира прозрачност и равен достъп до изборния процес</w:t>
            </w:r>
          </w:p>
          <w:p w14:paraId="656EFEFB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-Формализирана организационно-техническа подготовка, с издадени заповеди и определен екип, отразяващи стремежа към безпрепятствено протичане на изборния процес и улесняване участието на всички граждани – включително чрез достъпна информация и логистика.</w:t>
            </w:r>
          </w:p>
          <w:p w14:paraId="6E38D466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Чрез тези действия, общината изпълнява не само законовите изисквания, но и показва ангажираност към по-широко включване на населението в изборния процес – в духа на 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принципите на демокрацията и активното гражданство.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15393881" w14:textId="1E484E4D" w:rsidR="00092C50" w:rsidRPr="00CB2D27" w:rsidRDefault="00CB2D27" w:rsidP="00CB2D2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092C50" w:rsidRPr="00092C50" w14:paraId="15075982" w14:textId="77777777" w:rsidTr="00092C50">
        <w:tc>
          <w:tcPr>
            <w:tcW w:w="14587" w:type="dxa"/>
            <w:gridSpan w:val="3"/>
            <w:shd w:val="clear" w:color="auto" w:fill="FBE4D5" w:themeFill="accent2" w:themeFillTint="33"/>
            <w:vAlign w:val="center"/>
          </w:tcPr>
          <w:p w14:paraId="69EF1BB8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092C50" w:rsidRPr="00092C50" w14:paraId="1933F066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560186C6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39C3CC3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Община Тетевен предприема целенасочени мерки за включване на широк кръг от обществени групи, включително уязвими и неравнопоставени категории граждани, в процесите на вземане на решения и гласуване. Доказателства за това е:</w:t>
            </w:r>
          </w:p>
          <w:p w14:paraId="6BD3CEB7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7AE466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-Провеждане на обществени обсъждания и публични консултации с отворен достъп за всички граждани, независимо от социален, икономически или образователен статус. Протоколите и поканите доказват включване на различни групи – напр. по теми от социалната политика, услуги и инфраструктура</w:t>
            </w:r>
          </w:p>
          <w:p w14:paraId="33D0BEDB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A36A9A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-Електронен достъп до документи и материали чрез уеб платформата на общината и облачно хранилище – форма на дигитално включване за хора, които не могат да присъстват физически.</w:t>
            </w:r>
          </w:p>
          <w:p w14:paraId="4E18550C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6838939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-В организацията на изборите са предвидени мерки за достъпност – напр. разяснителна кампания, навременна и ясна информация, графици за логистична подкрепа – които имат пряко значение за участието на възрастни хора, хора с увреждания и жители на отдалечени населени места.</w:t>
            </w:r>
          </w:p>
          <w:p w14:paraId="4F341DB5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D6485F8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-Принципът на равнопоставеност се спазва и при формирането на изборните органи – чрез прозрачни покани за консултации относно съставите на секционните избирателни комисии.</w:t>
            </w:r>
          </w:p>
          <w:p w14:paraId="34742D12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7F1EB4C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Тези действия свидетелстват, че общината прилага интегриран подход за осигуряване на равен достъп до участие в демократичните процеси и насърчава приобщаването на групи, които традиционно са с по-ниска степен на ангажираност или са в уязвимо положение.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46DCA1B1" w14:textId="0A853EEA" w:rsidR="00092C50" w:rsidRPr="00CB2D27" w:rsidRDefault="00CB2D27" w:rsidP="00CB2D2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092C50" w:rsidRPr="00092C50" w14:paraId="505D100A" w14:textId="77777777" w:rsidTr="00092C50">
        <w:tc>
          <w:tcPr>
            <w:tcW w:w="14587" w:type="dxa"/>
            <w:gridSpan w:val="3"/>
            <w:shd w:val="clear" w:color="auto" w:fill="FBE4D5" w:themeFill="accent2" w:themeFillTint="33"/>
            <w:vAlign w:val="center"/>
          </w:tcPr>
          <w:p w14:paraId="789A3E83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92C5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092C50" w:rsidRPr="00092C50" w14:paraId="40E98779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1D3D3191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FA34AA9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Община Тетевен демонстрира устойчиво прилагане на институционализирани механизми за консултиране с ключовите заинтересовани страни, като системно ангажира неправителствения сектор, бизнеса, медиите и гражданските организации в процесите на формиране на местни политики. Конкретните примери включват:</w:t>
            </w:r>
          </w:p>
          <w:p w14:paraId="46741E12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FB268DC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-Публични обсъждания по стратегически документи, като бюджета за 2024 г., стратегията за управление на общинската собственост, горскостопански планове и секторни политики, в които са поканени представители на различни социални и икономически групи</w:t>
            </w:r>
          </w:p>
          <w:p w14:paraId="2A6DB556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-Консултации по стратегията ВОМР 2023–2027 г. на Местната инициативна група – типичен пример за участие на неправителствени организации, земеделски производители, микро- и малки предприятия, образователни и културни институции.</w:t>
            </w:r>
          </w:p>
          <w:p w14:paraId="4DD26FFF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 xml:space="preserve">-Провеждане на информационни събития и </w:t>
            </w: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конференции, които обединяват различни групи по интереси и създават възможности за пряк диалог между администрацията и общността.</w:t>
            </w:r>
          </w:p>
          <w:p w14:paraId="1D1F559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-Протоколирани срещи и покани, които удостоверяват системен подход към консултиране, а не еднократни действия, и допринасят за изграждане на доверие и легитимност в местното управление.</w:t>
            </w:r>
          </w:p>
          <w:p w14:paraId="562448EB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Всичко това потвърждава, че общината има изградена практика на широко и целенасочено включване на заинтересованите страни, в съответствие с принципите на открито и съвместно управление.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490E33E4" w14:textId="5F5E03DE" w:rsidR="00092C50" w:rsidRPr="00CB2D27" w:rsidRDefault="00CB2D27" w:rsidP="00CB2D2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092C50" w:rsidRPr="00092C50" w14:paraId="257E4B43" w14:textId="77777777" w:rsidTr="00092C50">
        <w:tc>
          <w:tcPr>
            <w:tcW w:w="14587" w:type="dxa"/>
            <w:gridSpan w:val="3"/>
            <w:shd w:val="clear" w:color="auto" w:fill="FBE4D5" w:themeFill="accent2" w:themeFillTint="33"/>
            <w:vAlign w:val="center"/>
          </w:tcPr>
          <w:p w14:paraId="59FEF809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92C5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092C50" w:rsidRPr="00092C50" w14:paraId="6AD70B66" w14:textId="77777777" w:rsidTr="00092C50">
        <w:tc>
          <w:tcPr>
            <w:tcW w:w="9073" w:type="dxa"/>
            <w:shd w:val="clear" w:color="auto" w:fill="FFFFFF" w:themeFill="background1"/>
            <w:vAlign w:val="center"/>
          </w:tcPr>
          <w:p w14:paraId="791A0295" w14:textId="77777777" w:rsidR="00092C50" w:rsidRPr="00092C50" w:rsidRDefault="00092C50" w:rsidP="00092C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92C50">
              <w:rPr>
                <w:rFonts w:ascii="Times New Roman" w:eastAsia="Times New Roman" w:hAnsi="Times New Roman" w:cs="Times New Roman"/>
                <w:bCs/>
                <w:i/>
                <w:lang w:val="bg-BG" w:eastAsia="bg-BG"/>
              </w:rPr>
              <w:t xml:space="preserve"> </w:t>
            </w:r>
            <w:r w:rsidRPr="00092C50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5E205A3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Община Тетевен осигурява процеси на вземане на решения, които отразяват волята на мнозинството, като същевременно проявява внимание и към правата и интересите на малцинствени и уязвими групи, в съответствие с принципите на плурализъм, толерантност и демократично управление.</w:t>
            </w:r>
          </w:p>
          <w:p w14:paraId="7AFF33A0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B6C733E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-Обществените обсъждания се провеждат при широка публичност и откритост, което позволява представяне на различни гледни точки. Теми като бюджет, социални политики, местно развитие и териториално устройство създават поле за дебат между мнозинствени интереси и специфични групи</w:t>
            </w:r>
          </w:p>
          <w:p w14:paraId="7A8DDD93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-Решенията се вземат от Общински съвет, където са представени легитимно избрани политически представители от различни партии – гаранция за плурализъм и демократичност в институционалната среда.</w:t>
            </w:r>
          </w:p>
          <w:p w14:paraId="2F7A3841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-Налице са мерки за включване на неравнопоставени и малцинствени групи – чрез специализирани консултации по социални и здравни теми, достъпна информация и участие в планиране на услуги.</w:t>
            </w:r>
          </w:p>
          <w:p w14:paraId="7ECCE628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5A696DA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t>-В процеса на обсъждане и утвърждаване на политики, общината показва стремеж към балансираност и търсене на обществен консенсус, а не налагане на решения с доминиращ административен подход.</w:t>
            </w:r>
          </w:p>
          <w:p w14:paraId="32F5E8A9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EEB6F77" w14:textId="77777777" w:rsidR="00092C50" w:rsidRPr="00092C50" w:rsidRDefault="00092C50" w:rsidP="00092C5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lang w:val="bg-BG"/>
              </w:rPr>
              <w:lastRenderedPageBreak/>
              <w:t>На тази основа може да се заключи, че общината работи в дух на демократичен баланс между интересите на мнозинството и уважение към правата на всяка обществена група, включително и на тези с ограничено влияние в публичния дебат.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14:paraId="491FFA6D" w14:textId="490EC000" w:rsidR="00092C50" w:rsidRPr="00CB2D27" w:rsidRDefault="00CB2D27" w:rsidP="00CB2D2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B2D27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092C50" w:rsidRPr="00092C50" w14:paraId="3603B372" w14:textId="77777777" w:rsidTr="00092C50">
        <w:tc>
          <w:tcPr>
            <w:tcW w:w="9073" w:type="dxa"/>
            <w:shd w:val="clear" w:color="auto" w:fill="E2EFD9" w:themeFill="accent6" w:themeFillTint="33"/>
            <w:vAlign w:val="center"/>
          </w:tcPr>
          <w:p w14:paraId="56DD4628" w14:textId="77777777" w:rsidR="00092C50" w:rsidRPr="00092C50" w:rsidRDefault="00092C50" w:rsidP="00092C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1D96159" w14:textId="77777777" w:rsidR="00092C50" w:rsidRPr="00092C50" w:rsidRDefault="00092C50" w:rsidP="00092C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0B784DA1" w14:textId="77777777" w:rsidR="00092C50" w:rsidRPr="00092C50" w:rsidRDefault="00092C50" w:rsidP="00092C5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  <w:vAlign w:val="center"/>
          </w:tcPr>
          <w:p w14:paraId="2146D91B" w14:textId="77777777" w:rsidR="00092C50" w:rsidRPr="00092C50" w:rsidRDefault="00092C50" w:rsidP="00092C5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2C50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4707F46B" w14:textId="77777777" w:rsidR="008573D0" w:rsidRPr="00092C50" w:rsidRDefault="008573D0" w:rsidP="008573D0"/>
    <w:p w14:paraId="1738807E" w14:textId="77777777" w:rsidR="001F57D4" w:rsidRPr="00092C50" w:rsidRDefault="001F57D4" w:rsidP="008573D0"/>
    <w:sectPr w:rsidR="001F57D4" w:rsidRPr="00092C50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20F6" w14:textId="77777777" w:rsidR="007B4F10" w:rsidRDefault="007B4F10" w:rsidP="001F57D4">
      <w:pPr>
        <w:spacing w:after="0" w:line="240" w:lineRule="auto"/>
      </w:pPr>
      <w:r>
        <w:separator/>
      </w:r>
    </w:p>
  </w:endnote>
  <w:endnote w:type="continuationSeparator" w:id="0">
    <w:p w14:paraId="40C2BB36" w14:textId="77777777" w:rsidR="007B4F10" w:rsidRDefault="007B4F10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2C77D" w14:textId="77777777" w:rsidR="007B4F10" w:rsidRDefault="007B4F10" w:rsidP="001F57D4">
      <w:pPr>
        <w:spacing w:after="0" w:line="240" w:lineRule="auto"/>
      </w:pPr>
      <w:r>
        <w:separator/>
      </w:r>
    </w:p>
  </w:footnote>
  <w:footnote w:type="continuationSeparator" w:id="0">
    <w:p w14:paraId="461987AF" w14:textId="77777777" w:rsidR="007B4F10" w:rsidRDefault="007B4F10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F538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92C50"/>
    <w:rsid w:val="000B7108"/>
    <w:rsid w:val="000D0042"/>
    <w:rsid w:val="001D25E8"/>
    <w:rsid w:val="001F57D4"/>
    <w:rsid w:val="00246FD8"/>
    <w:rsid w:val="00265CAB"/>
    <w:rsid w:val="002C7C30"/>
    <w:rsid w:val="002F6E09"/>
    <w:rsid w:val="003309FE"/>
    <w:rsid w:val="003F6423"/>
    <w:rsid w:val="00490C21"/>
    <w:rsid w:val="004C62CE"/>
    <w:rsid w:val="00511744"/>
    <w:rsid w:val="0051794A"/>
    <w:rsid w:val="005852EB"/>
    <w:rsid w:val="00593E32"/>
    <w:rsid w:val="005E0C5B"/>
    <w:rsid w:val="005F7EA3"/>
    <w:rsid w:val="006336B5"/>
    <w:rsid w:val="006E21C3"/>
    <w:rsid w:val="00747D31"/>
    <w:rsid w:val="00777AF1"/>
    <w:rsid w:val="0078216C"/>
    <w:rsid w:val="007B4F10"/>
    <w:rsid w:val="007C68C8"/>
    <w:rsid w:val="007F126D"/>
    <w:rsid w:val="00815422"/>
    <w:rsid w:val="008573D0"/>
    <w:rsid w:val="00941AD2"/>
    <w:rsid w:val="00962025"/>
    <w:rsid w:val="00A10691"/>
    <w:rsid w:val="00A4139A"/>
    <w:rsid w:val="00A4703F"/>
    <w:rsid w:val="00A915CA"/>
    <w:rsid w:val="00A91E92"/>
    <w:rsid w:val="00B81496"/>
    <w:rsid w:val="00C21126"/>
    <w:rsid w:val="00C62D80"/>
    <w:rsid w:val="00C86A4A"/>
    <w:rsid w:val="00CB2D27"/>
    <w:rsid w:val="00D22EDE"/>
    <w:rsid w:val="00D41DB4"/>
    <w:rsid w:val="00D73DEF"/>
    <w:rsid w:val="00DC4689"/>
    <w:rsid w:val="00E34B2D"/>
    <w:rsid w:val="00E84529"/>
    <w:rsid w:val="00F106A6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B1B2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  <w:style w:type="paragraph" w:styleId="NormalWeb">
    <w:name w:val="Normal (Web)"/>
    <w:basedOn w:val="Normal"/>
    <w:uiPriority w:val="99"/>
    <w:unhideWhenUsed/>
    <w:rsid w:val="0009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18</cp:revision>
  <dcterms:created xsi:type="dcterms:W3CDTF">2022-07-04T12:09:00Z</dcterms:created>
  <dcterms:modified xsi:type="dcterms:W3CDTF">2025-06-19T06:47:00Z</dcterms:modified>
</cp:coreProperties>
</file>